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242BAC" w:rsidP="00384C1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E05FAD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014386">
              <w:rPr>
                <w:rFonts w:ascii="Arial" w:hAnsi="Arial" w:cs="Arial"/>
              </w:rPr>
              <w:t>6</w:t>
            </w:r>
            <w:r w:rsidR="00E05FAD">
              <w:rPr>
                <w:rFonts w:ascii="Arial" w:hAnsi="Arial" w:cs="Arial"/>
              </w:rPr>
              <w:t>9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242BAC" w:rsidRPr="00242BAC">
        <w:rPr>
          <w:rFonts w:ascii="Arial" w:hAnsi="Arial" w:cs="Arial"/>
          <w:b/>
        </w:rPr>
        <w:t xml:space="preserve">поставку </w:t>
      </w:r>
      <w:r w:rsidR="00E05FAD">
        <w:rPr>
          <w:rFonts w:ascii="Arial" w:hAnsi="Arial" w:cs="Arial"/>
          <w:b/>
        </w:rPr>
        <w:t>трубы ЧШГ</w:t>
      </w:r>
      <w:r w:rsidR="00242BAC" w:rsidRPr="00242BAC">
        <w:rPr>
          <w:rFonts w:ascii="Arial" w:hAnsi="Arial" w:cs="Arial"/>
          <w:b/>
        </w:rPr>
        <w:t xml:space="preserve"> в 2019 г.</w:t>
      </w:r>
      <w:r w:rsidR="00DE3160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242BAC">
        <w:rPr>
          <w:rFonts w:ascii="Arial" w:hAnsi="Arial" w:cs="Arial"/>
          <w:b/>
          <w:u w:val="single"/>
        </w:rPr>
        <w:t>10.01.2019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242BAC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242BAC" w:rsidRPr="00242BAC">
        <w:rPr>
          <w:rFonts w:ascii="Arial" w:hAnsi="Arial" w:cs="Arial"/>
          <w:b/>
        </w:rPr>
        <w:t xml:space="preserve">поставку </w:t>
      </w:r>
      <w:r w:rsidR="00E05FAD">
        <w:rPr>
          <w:rFonts w:ascii="Arial" w:hAnsi="Arial" w:cs="Arial"/>
          <w:b/>
        </w:rPr>
        <w:t>трубы ЧШГ</w:t>
      </w:r>
      <w:r w:rsidR="00242BAC" w:rsidRPr="00242BAC">
        <w:rPr>
          <w:rFonts w:ascii="Arial" w:hAnsi="Arial" w:cs="Arial"/>
          <w:b/>
        </w:rPr>
        <w:t xml:space="preserve"> в 2019 г.</w:t>
      </w:r>
      <w:r w:rsidR="00242BAC">
        <w:rPr>
          <w:rFonts w:ascii="Arial" w:hAnsi="Arial" w:cs="Arial"/>
          <w:b/>
        </w:rPr>
        <w:t>,</w:t>
      </w:r>
      <w:r w:rsidR="00242BAC" w:rsidRPr="00242BAC">
        <w:rPr>
          <w:rFonts w:ascii="Arial" w:hAnsi="Arial" w:cs="Arial"/>
          <w:b/>
        </w:rPr>
        <w:t xml:space="preserve"> </w:t>
      </w:r>
      <w:r w:rsidR="00DC2242">
        <w:rPr>
          <w:rFonts w:ascii="Arial" w:hAnsi="Arial" w:cs="Arial"/>
        </w:rPr>
        <w:t>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E05FAD">
        <w:rPr>
          <w:rFonts w:ascii="Arial" w:hAnsi="Arial" w:cs="Arial"/>
          <w:b/>
        </w:rPr>
        <w:t>220 422,61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E05FAD">
        <w:rPr>
          <w:rFonts w:ascii="Arial" w:hAnsi="Arial" w:cs="Arial"/>
        </w:rPr>
        <w:t>Труба ЧШГ 220 422,61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proofErr w:type="gramStart"/>
      <w:r w:rsidRPr="00C41084">
        <w:rPr>
          <w:rFonts w:ascii="Arial" w:hAnsi="Arial" w:cs="Arial"/>
        </w:rPr>
        <w:t>предложившим</w:t>
      </w:r>
      <w:proofErr w:type="gramEnd"/>
      <w:r w:rsidRPr="00C41084">
        <w:rPr>
          <w:rFonts w:ascii="Arial" w:hAnsi="Arial" w:cs="Arial"/>
        </w:rPr>
        <w:t xml:space="preserve">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242BAC">
        <w:rPr>
          <w:rFonts w:ascii="Arial" w:hAnsi="Arial" w:cs="Arial"/>
          <w:b/>
          <w:u w:val="single"/>
        </w:rPr>
        <w:t>06.02.2019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242BAC">
        <w:rPr>
          <w:rFonts w:ascii="Arial" w:hAnsi="Arial" w:cs="Arial"/>
          <w:b/>
          <w:u w:val="single"/>
        </w:rPr>
        <w:t>13.02.2019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242BAC">
        <w:t>Начальник службы</w:t>
      </w:r>
      <w:r w:rsidR="003418A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proofErr w:type="spellStart"/>
      <w:r w:rsidR="00242BAC" w:rsidRPr="00242BAC">
        <w:rPr>
          <w:rFonts w:ascii="Helv" w:hAnsi="Helv" w:cs="Helv"/>
          <w:color w:val="000000"/>
          <w:sz w:val="18"/>
          <w:szCs w:val="18"/>
        </w:rPr>
        <w:t>Горкин</w:t>
      </w:r>
      <w:proofErr w:type="spellEnd"/>
      <w:r w:rsidR="00242BAC" w:rsidRPr="00242BAC">
        <w:rPr>
          <w:rFonts w:ascii="Helv" w:hAnsi="Helv" w:cs="Helv"/>
          <w:color w:val="000000"/>
          <w:sz w:val="18"/>
          <w:szCs w:val="18"/>
        </w:rPr>
        <w:t xml:space="preserve"> Игорь Альбертович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242BAC">
        <w:t>600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E05FAD" w:rsidRPr="00FA493E">
          <w:rPr>
            <w:rStyle w:val="a3"/>
          </w:rPr>
          <w:t>GorkinIA@tamcomsys.ru</w:t>
        </w:r>
      </w:hyperlink>
      <w:r w:rsidR="00E05FAD">
        <w:t xml:space="preserve"> </w:t>
      </w:r>
      <w:r w:rsidR="003418A6">
        <w:t xml:space="preserve"> </w:t>
      </w:r>
      <w:r w:rsidR="00E05FAD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  <w:bookmarkStart w:id="7" w:name="_GoBack"/>
      <w:bookmarkEnd w:id="7"/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E05FAD">
      <w:rPr>
        <w:rFonts w:ascii="Arial" w:hAnsi="Arial" w:cs="Arial"/>
        <w:b/>
        <w:noProof/>
        <w:sz w:val="16"/>
        <w:szCs w:val="16"/>
      </w:rPr>
      <w:t>4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E05FAD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386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0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2BAC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5FAD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Gorkin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CBD82-AB49-44F5-ACE5-61CAC037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12</Pages>
  <Words>4237</Words>
  <Characters>30325</Characters>
  <Application>Microsoft Office Word</Application>
  <DocSecurity>0</DocSecurity>
  <Lines>252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96</cp:revision>
  <cp:lastPrinted>2016-04-01T07:05:00Z</cp:lastPrinted>
  <dcterms:created xsi:type="dcterms:W3CDTF">2016-04-06T06:42:00Z</dcterms:created>
  <dcterms:modified xsi:type="dcterms:W3CDTF">2018-12-13T07:16:00Z</dcterms:modified>
</cp:coreProperties>
</file>